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 xml:space="preserve">Il licenziatario non è tenuto a disporre di CAL per utenti esterno che accedono a istanze del software server indirettamente. Con “utenti esterni” si intendono quegli utenti che </w:t>
      </w:r>
      <w:r>
        <w:rPr>
          <w:sz w:val="20"/>
          <w:szCs w:val="20"/>
        </w:rPr>
        <w:lastRenderedPageBreak/>
        <w:t>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0B8F7C83"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4396E">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4396E">
            <w:rPr>
              <w:rFonts w:cs="Times New Roman"/>
              <w:noProof/>
              <w:sz w:val="18"/>
              <w:szCs w:val="18"/>
            </w:rPr>
            <w:t>4</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dsM1pW5dlv2OjZb6XbNYtwnoRQvn9zt79aAjM/OIpYdUZkxAyprh6HohJYrORweNBUyKCrAFPpPkawRWa5MIA==" w:salt="aqvEImFZDHumLW4MrCHLp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4396E"/>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2016-11-29T21:49:00Z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